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936" w:rsidRDefault="00E21936" w:rsidP="00E21936">
      <w:pPr>
        <w:widowControl w:val="0"/>
        <w:autoSpaceDE w:val="0"/>
        <w:autoSpaceDN w:val="0"/>
        <w:adjustRightInd w:val="0"/>
        <w:rPr>
          <w:rFonts w:ascii="Calibri" w:hAnsi="Calibri" w:cs="Calibri"/>
          <w:sz w:val="30"/>
          <w:szCs w:val="30"/>
        </w:rPr>
      </w:pPr>
      <w:bookmarkStart w:id="0" w:name="_GoBack"/>
      <w:bookmarkEnd w:id="0"/>
      <w:r>
        <w:rPr>
          <w:rFonts w:ascii="Arial" w:hAnsi="Arial" w:cs="Arial"/>
          <w:b/>
          <w:bCs/>
          <w:color w:val="13284B"/>
          <w:sz w:val="26"/>
          <w:szCs w:val="26"/>
        </w:rPr>
        <w:t>Jeanne Clinton</w:t>
      </w:r>
    </w:p>
    <w:p w:rsidR="00E21936" w:rsidRDefault="00E21936" w:rsidP="00E21936">
      <w:pPr>
        <w:widowControl w:val="0"/>
        <w:autoSpaceDE w:val="0"/>
        <w:autoSpaceDN w:val="0"/>
        <w:adjustRightInd w:val="0"/>
        <w:rPr>
          <w:rFonts w:ascii="Calibri" w:hAnsi="Calibri" w:cs="Calibri"/>
          <w:sz w:val="30"/>
          <w:szCs w:val="30"/>
        </w:rPr>
      </w:pPr>
      <w:r>
        <w:rPr>
          <w:rFonts w:ascii="Arial" w:hAnsi="Arial" w:cs="Arial"/>
          <w:b/>
          <w:bCs/>
          <w:i/>
          <w:iCs/>
          <w:color w:val="2A4B7E"/>
        </w:rPr>
        <w:t>Special Advisor for Energy Efficiency</w:t>
      </w:r>
    </w:p>
    <w:p w:rsidR="00E21936" w:rsidRDefault="00E21936" w:rsidP="00E21936">
      <w:pPr>
        <w:widowControl w:val="0"/>
        <w:autoSpaceDE w:val="0"/>
        <w:autoSpaceDN w:val="0"/>
        <w:adjustRightInd w:val="0"/>
        <w:rPr>
          <w:rFonts w:ascii="Calibri" w:hAnsi="Calibri" w:cs="Calibri"/>
          <w:sz w:val="30"/>
          <w:szCs w:val="30"/>
        </w:rPr>
      </w:pPr>
      <w:r>
        <w:rPr>
          <w:rFonts w:ascii="Arial" w:hAnsi="Arial" w:cs="Arial"/>
        </w:rPr>
        <w:t>Calif. Public Utilities Commission</w:t>
      </w:r>
    </w:p>
    <w:p w:rsidR="00E21936" w:rsidRDefault="00E21936" w:rsidP="00E21936">
      <w:pPr>
        <w:widowControl w:val="0"/>
        <w:autoSpaceDE w:val="0"/>
        <w:autoSpaceDN w:val="0"/>
        <w:adjustRightInd w:val="0"/>
        <w:rPr>
          <w:rFonts w:ascii="Calibri" w:hAnsi="Calibri" w:cs="Calibri"/>
          <w:sz w:val="30"/>
          <w:szCs w:val="30"/>
        </w:rPr>
      </w:pPr>
      <w:r>
        <w:rPr>
          <w:rFonts w:ascii="Arial" w:hAnsi="Arial" w:cs="Arial"/>
          <w:b/>
          <w:bCs/>
        </w:rPr>
        <w:t>Tel:</w:t>
      </w:r>
      <w:r>
        <w:rPr>
          <w:rFonts w:ascii="Arial" w:hAnsi="Arial" w:cs="Arial"/>
        </w:rPr>
        <w:t xml:space="preserve"> 415/ 703-1159</w:t>
      </w:r>
    </w:p>
    <w:p w:rsidR="00E21936" w:rsidRDefault="00E21936" w:rsidP="00E21936">
      <w:pPr>
        <w:widowControl w:val="0"/>
        <w:autoSpaceDE w:val="0"/>
        <w:autoSpaceDN w:val="0"/>
        <w:adjustRightInd w:val="0"/>
        <w:rPr>
          <w:rFonts w:ascii="Calibri" w:hAnsi="Calibri" w:cs="Calibri"/>
          <w:sz w:val="30"/>
          <w:szCs w:val="30"/>
        </w:rPr>
      </w:pPr>
      <w:r>
        <w:rPr>
          <w:rFonts w:ascii="Arial" w:hAnsi="Arial" w:cs="Arial"/>
          <w:b/>
          <w:bCs/>
        </w:rPr>
        <w:t>e-mail:</w:t>
      </w:r>
      <w:r>
        <w:rPr>
          <w:rFonts w:ascii="Arial" w:hAnsi="Arial" w:cs="Arial"/>
        </w:rPr>
        <w:t xml:space="preserve"> </w:t>
      </w:r>
      <w:r>
        <w:rPr>
          <w:rFonts w:ascii="Arial" w:hAnsi="Arial" w:cs="Arial"/>
        </w:rPr>
        <w:fldChar w:fldCharType="begin"/>
      </w:r>
      <w:r>
        <w:rPr>
          <w:rFonts w:ascii="Arial" w:hAnsi="Arial" w:cs="Arial"/>
        </w:rPr>
        <w:instrText>HYPERLINK "blocked::mailto:cln@cpuc.ca.gov"</w:instrText>
      </w:r>
      <w:r>
        <w:rPr>
          <w:rFonts w:ascii="Arial" w:hAnsi="Arial" w:cs="Arial"/>
        </w:rPr>
        <w:fldChar w:fldCharType="separate"/>
      </w:r>
      <w:r>
        <w:rPr>
          <w:rFonts w:ascii="Arial" w:hAnsi="Arial" w:cs="Arial"/>
          <w:b/>
        </w:rPr>
        <w:t>Error! Hyperlink reference not valid.</w:t>
      </w:r>
      <w:r>
        <w:rPr>
          <w:rFonts w:ascii="Arial" w:hAnsi="Arial" w:cs="Arial"/>
        </w:rPr>
        <w:fldChar w:fldCharType="end"/>
      </w:r>
      <w:r>
        <w:rPr>
          <w:rFonts w:ascii="Arial" w:hAnsi="Arial" w:cs="Arial"/>
        </w:rPr>
        <w:t>  or</w:t>
      </w:r>
    </w:p>
    <w:p w:rsidR="00E21936" w:rsidRDefault="00E21936" w:rsidP="00E21936">
      <w:hyperlink r:id="rId7" w:history="1">
        <w:r>
          <w:rPr>
            <w:rFonts w:ascii="Arial" w:hAnsi="Arial" w:cs="Arial"/>
            <w:color w:val="0000FF"/>
            <w:u w:val="single" w:color="0000FF"/>
          </w:rPr>
          <w:t>jeanne.clinton@cpuc.ca.gov</w:t>
        </w:r>
      </w:hyperlink>
    </w:p>
    <w:p w:rsidR="00E21936" w:rsidRDefault="00E21936" w:rsidP="00E21936">
      <w:pPr>
        <w:widowControl w:val="0"/>
        <w:autoSpaceDE w:val="0"/>
        <w:autoSpaceDN w:val="0"/>
        <w:adjustRightInd w:val="0"/>
        <w:rPr>
          <w:rFonts w:ascii="Arial" w:hAnsi="Arial" w:cs="Arial"/>
          <w:sz w:val="26"/>
          <w:szCs w:val="26"/>
        </w:rPr>
      </w:pPr>
    </w:p>
    <w:p w:rsidR="00E21936" w:rsidRDefault="00E21936" w:rsidP="00E21936">
      <w:pPr>
        <w:widowControl w:val="0"/>
        <w:autoSpaceDE w:val="0"/>
        <w:autoSpaceDN w:val="0"/>
        <w:adjustRightInd w:val="0"/>
        <w:rPr>
          <w:rFonts w:ascii="Calibri" w:hAnsi="Calibri" w:cs="Calibri"/>
          <w:sz w:val="30"/>
          <w:szCs w:val="30"/>
        </w:rPr>
      </w:pPr>
      <w:r>
        <w:rPr>
          <w:rFonts w:ascii="Arial" w:hAnsi="Arial" w:cs="Arial"/>
          <w:sz w:val="26"/>
          <w:szCs w:val="26"/>
        </w:rPr>
        <w:t>The following comments are based on the slides presented 12/12/2016.</w:t>
      </w:r>
    </w:p>
    <w:p w:rsidR="00E21936" w:rsidRDefault="00E21936" w:rsidP="00E21936">
      <w:pPr>
        <w:widowControl w:val="0"/>
        <w:autoSpaceDE w:val="0"/>
        <w:autoSpaceDN w:val="0"/>
        <w:adjustRightInd w:val="0"/>
        <w:rPr>
          <w:rFonts w:ascii="Calibri" w:hAnsi="Calibri" w:cs="Calibri"/>
          <w:sz w:val="30"/>
          <w:szCs w:val="30"/>
        </w:rPr>
      </w:pPr>
      <w:r>
        <w:rPr>
          <w:rFonts w:ascii="Arial" w:hAnsi="Arial" w:cs="Arial"/>
          <w:sz w:val="26"/>
          <w:szCs w:val="26"/>
        </w:rPr>
        <w:t> </w:t>
      </w:r>
    </w:p>
    <w:tbl>
      <w:tblPr>
        <w:tblW w:w="0" w:type="auto"/>
        <w:tblBorders>
          <w:top w:val="nil"/>
          <w:left w:val="nil"/>
          <w:right w:val="nil"/>
        </w:tblBorders>
        <w:tblLayout w:type="fixed"/>
        <w:tblLook w:val="0000" w:firstRow="0" w:lastRow="0" w:firstColumn="0" w:lastColumn="0" w:noHBand="0" w:noVBand="0"/>
      </w:tblPr>
      <w:tblGrid>
        <w:gridCol w:w="1652"/>
        <w:gridCol w:w="11112"/>
      </w:tblGrid>
      <w:tr w:rsidR="00E21936">
        <w:tblPrEx>
          <w:tblCellMar>
            <w:top w:w="0" w:type="dxa"/>
            <w:bottom w:w="0" w:type="dxa"/>
          </w:tblCellMar>
        </w:tblPrEx>
        <w:tc>
          <w:tcPr>
            <w:tcW w:w="1652" w:type="dxa"/>
            <w:tcBorders>
              <w:top w:val="single" w:sz="10" w:space="0" w:color="000000"/>
              <w:left w:val="single" w:sz="10" w:space="0" w:color="000000"/>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rPr>
                <w:rFonts w:ascii="Calibri" w:hAnsi="Calibri" w:cs="Calibri"/>
                <w:sz w:val="30"/>
                <w:szCs w:val="30"/>
              </w:rPr>
            </w:pPr>
            <w:r>
              <w:rPr>
                <w:rFonts w:ascii="Arial" w:hAnsi="Arial" w:cs="Arial"/>
                <w:b/>
                <w:bCs/>
                <w:sz w:val="26"/>
                <w:szCs w:val="26"/>
              </w:rPr>
              <w:t>Slide #</w:t>
            </w:r>
          </w:p>
        </w:tc>
        <w:tc>
          <w:tcPr>
            <w:tcW w:w="11112" w:type="dxa"/>
            <w:tcBorders>
              <w:top w:val="single" w:sz="10" w:space="0" w:color="000000"/>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rPr>
                <w:rFonts w:ascii="Calibri" w:hAnsi="Calibri" w:cs="Calibri"/>
                <w:sz w:val="30"/>
                <w:szCs w:val="30"/>
              </w:rPr>
            </w:pPr>
            <w:r>
              <w:rPr>
                <w:rFonts w:ascii="Arial" w:hAnsi="Arial" w:cs="Arial"/>
                <w:b/>
                <w:bCs/>
                <w:sz w:val="26"/>
                <w:szCs w:val="26"/>
              </w:rPr>
              <w:t>Comment</w:t>
            </w:r>
          </w:p>
        </w:tc>
      </w:tr>
      <w:tr w:rsidR="00E21936">
        <w:tblPrEx>
          <w:tblBorders>
            <w:top w:val="none" w:sz="0" w:space="0" w:color="auto"/>
          </w:tblBorders>
          <w:tblCellMar>
            <w:top w:w="0" w:type="dxa"/>
            <w:bottom w:w="0" w:type="dxa"/>
          </w:tblCellMar>
        </w:tblPrEx>
        <w:tc>
          <w:tcPr>
            <w:tcW w:w="1652" w:type="dxa"/>
            <w:tcBorders>
              <w:left w:val="single" w:sz="10" w:space="0" w:color="000000"/>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jc w:val="center"/>
              <w:rPr>
                <w:rFonts w:ascii="Calibri" w:hAnsi="Calibri" w:cs="Calibri"/>
                <w:sz w:val="30"/>
                <w:szCs w:val="30"/>
              </w:rPr>
            </w:pPr>
            <w:r>
              <w:rPr>
                <w:rFonts w:ascii="Arial" w:hAnsi="Arial" w:cs="Arial"/>
                <w:sz w:val="26"/>
                <w:szCs w:val="26"/>
              </w:rPr>
              <w:t>8</w:t>
            </w:r>
          </w:p>
        </w:tc>
        <w:tc>
          <w:tcPr>
            <w:tcW w:w="11112" w:type="dxa"/>
            <w:tcBorders>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rPr>
                <w:rFonts w:ascii="Calibri" w:hAnsi="Calibri" w:cs="Calibri"/>
                <w:sz w:val="30"/>
                <w:szCs w:val="30"/>
              </w:rPr>
            </w:pPr>
            <w:r>
              <w:rPr>
                <w:rFonts w:ascii="Arial" w:hAnsi="Arial" w:cs="Arial"/>
                <w:sz w:val="26"/>
                <w:szCs w:val="26"/>
              </w:rPr>
              <w:t>The “consumer willingness” modeling approach on a long-standing basis has used levelized cost to represent the adoption rate. Yet we know that market uptake is also based on features, convenience of the transaction/acquisition, word-of-mouth, and probably the influence of a contractor or sales person. I fail to understand the argument for an economic-only driven modeling approach. (see next comment)</w:t>
            </w:r>
          </w:p>
        </w:tc>
      </w:tr>
      <w:tr w:rsidR="00E21936">
        <w:tblPrEx>
          <w:tblBorders>
            <w:top w:val="none" w:sz="0" w:space="0" w:color="auto"/>
          </w:tblBorders>
          <w:tblCellMar>
            <w:top w:w="0" w:type="dxa"/>
            <w:bottom w:w="0" w:type="dxa"/>
          </w:tblCellMar>
        </w:tblPrEx>
        <w:tc>
          <w:tcPr>
            <w:tcW w:w="1652" w:type="dxa"/>
            <w:tcBorders>
              <w:left w:val="single" w:sz="10" w:space="0" w:color="000000"/>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jc w:val="center"/>
              <w:rPr>
                <w:rFonts w:ascii="Calibri" w:hAnsi="Calibri" w:cs="Calibri"/>
                <w:sz w:val="30"/>
                <w:szCs w:val="30"/>
              </w:rPr>
            </w:pPr>
            <w:r>
              <w:rPr>
                <w:rFonts w:ascii="Arial" w:hAnsi="Arial" w:cs="Arial"/>
                <w:sz w:val="26"/>
                <w:szCs w:val="26"/>
              </w:rPr>
              <w:t>9</w:t>
            </w:r>
          </w:p>
        </w:tc>
        <w:tc>
          <w:tcPr>
            <w:tcW w:w="11112" w:type="dxa"/>
            <w:tcBorders>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rPr>
                <w:rFonts w:ascii="Calibri" w:hAnsi="Calibri" w:cs="Calibri"/>
                <w:sz w:val="30"/>
                <w:szCs w:val="30"/>
              </w:rPr>
            </w:pPr>
            <w:r>
              <w:rPr>
                <w:rFonts w:ascii="Arial" w:hAnsi="Arial" w:cs="Arial"/>
                <w:sz w:val="26"/>
                <w:szCs w:val="26"/>
              </w:rPr>
              <w:t>The next step of consumer awareness brings in the theory of marketing strength and word-of-mouth., which during the webinar was stated as “drawing on substantial literature” on technology adoption. This may work for visible things (solar, TVs, even LEDs and appliances), but does it have validity for invisible things – energy management, effective HVAC solutions, and operations/behavior?</w:t>
            </w:r>
          </w:p>
        </w:tc>
      </w:tr>
      <w:tr w:rsidR="00E21936">
        <w:tblPrEx>
          <w:tblBorders>
            <w:top w:val="none" w:sz="0" w:space="0" w:color="auto"/>
          </w:tblBorders>
          <w:tblCellMar>
            <w:top w:w="0" w:type="dxa"/>
            <w:bottom w:w="0" w:type="dxa"/>
          </w:tblCellMar>
        </w:tblPrEx>
        <w:tc>
          <w:tcPr>
            <w:tcW w:w="1652" w:type="dxa"/>
            <w:tcBorders>
              <w:left w:val="single" w:sz="10" w:space="0" w:color="000000"/>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jc w:val="center"/>
              <w:rPr>
                <w:rFonts w:ascii="Calibri" w:hAnsi="Calibri" w:cs="Calibri"/>
                <w:sz w:val="30"/>
                <w:szCs w:val="30"/>
              </w:rPr>
            </w:pPr>
            <w:r>
              <w:rPr>
                <w:rFonts w:ascii="Arial" w:hAnsi="Arial" w:cs="Arial"/>
                <w:sz w:val="26"/>
                <w:szCs w:val="26"/>
              </w:rPr>
              <w:t>10</w:t>
            </w:r>
          </w:p>
        </w:tc>
        <w:tc>
          <w:tcPr>
            <w:tcW w:w="11112" w:type="dxa"/>
            <w:tcBorders>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rPr>
                <w:rFonts w:ascii="Calibri" w:hAnsi="Calibri" w:cs="Calibri"/>
                <w:sz w:val="30"/>
                <w:szCs w:val="30"/>
              </w:rPr>
            </w:pPr>
            <w:r>
              <w:rPr>
                <w:rFonts w:ascii="Arial" w:hAnsi="Arial" w:cs="Arial"/>
                <w:sz w:val="26"/>
                <w:szCs w:val="26"/>
              </w:rPr>
              <w:t>Per preceding comment, is there validity to taking the approach that adoption model = awareness * willingness? Should “scenarios” possibly provide sensitivities to different KINDS of adoption from non-energy decisions? E.g. smart phone features and functions? Automobile selection? Etc.? This would be a possible proxy for testing a “what if” there were more effective marketing (or motivations to sell) high EE solutions.</w:t>
            </w:r>
          </w:p>
          <w:p w:rsidR="00E21936" w:rsidRDefault="00E21936">
            <w:pPr>
              <w:widowControl w:val="0"/>
              <w:autoSpaceDE w:val="0"/>
              <w:autoSpaceDN w:val="0"/>
              <w:adjustRightInd w:val="0"/>
              <w:rPr>
                <w:rFonts w:ascii="Calibri" w:hAnsi="Calibri" w:cs="Calibri"/>
                <w:sz w:val="30"/>
                <w:szCs w:val="30"/>
              </w:rPr>
            </w:pPr>
            <w:r>
              <w:rPr>
                <w:rFonts w:ascii="Arial" w:hAnsi="Arial" w:cs="Arial"/>
                <w:sz w:val="26"/>
                <w:szCs w:val="26"/>
              </w:rPr>
              <w:t xml:space="preserve">Or alternatively, could scenarios be based on looking at range of national experience in adoption/participation in like end uses or programs targeting those end uses? This latter approach is EXACTLY the one that we took when I was at Barakat &amp; Chamberlin in 80s and </w:t>
            </w:r>
            <w:r>
              <w:rPr>
                <w:rFonts w:ascii="Arial" w:hAnsi="Arial" w:cs="Arial"/>
                <w:sz w:val="26"/>
                <w:szCs w:val="26"/>
              </w:rPr>
              <w:lastRenderedPageBreak/>
              <w:t>90s – pulling together a database of ranges of  program participation and uptake experiences, and having DSM potential cases. These also can be run through an IRP process – e.g. where higher marketing effectiveness and/or higher incentives or more support for financing mechanisms can have a higher cost (along with higher market uptakes) that can be tested for acceptability in an IRP framework.</w:t>
            </w:r>
          </w:p>
        </w:tc>
      </w:tr>
      <w:tr w:rsidR="00E21936">
        <w:tblPrEx>
          <w:tblBorders>
            <w:top w:val="none" w:sz="0" w:space="0" w:color="auto"/>
          </w:tblBorders>
          <w:tblCellMar>
            <w:top w:w="0" w:type="dxa"/>
            <w:bottom w:w="0" w:type="dxa"/>
          </w:tblCellMar>
        </w:tblPrEx>
        <w:tc>
          <w:tcPr>
            <w:tcW w:w="1652" w:type="dxa"/>
            <w:tcBorders>
              <w:left w:val="single" w:sz="10" w:space="0" w:color="000000"/>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jc w:val="center"/>
              <w:rPr>
                <w:rFonts w:ascii="Calibri" w:hAnsi="Calibri" w:cs="Calibri"/>
                <w:sz w:val="30"/>
                <w:szCs w:val="30"/>
              </w:rPr>
            </w:pPr>
            <w:r>
              <w:rPr>
                <w:rFonts w:ascii="Arial" w:hAnsi="Arial" w:cs="Arial"/>
                <w:sz w:val="26"/>
                <w:szCs w:val="26"/>
              </w:rPr>
              <w:lastRenderedPageBreak/>
              <w:t>13</w:t>
            </w:r>
          </w:p>
        </w:tc>
        <w:tc>
          <w:tcPr>
            <w:tcW w:w="11112" w:type="dxa"/>
            <w:tcBorders>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rPr>
                <w:rFonts w:ascii="Calibri" w:hAnsi="Calibri" w:cs="Calibri"/>
                <w:sz w:val="30"/>
                <w:szCs w:val="30"/>
              </w:rPr>
            </w:pPr>
            <w:r>
              <w:rPr>
                <w:rFonts w:ascii="Arial" w:hAnsi="Arial" w:cs="Arial"/>
                <w:sz w:val="26"/>
                <w:szCs w:val="26"/>
              </w:rPr>
              <w:t>I know you want comments on scenarios, and not “calibration”. That said, there are some aspects of “calibration” that perhaps are better viewed as scenarios for high and low levels of market adoption – under variety of potential future market conditions, and where past “stable trends” are NOT what we are trying to mobilize on a going forward basis. The challenge of course is to conjecture whether “smarter, more effective” program designs and marketing can be imagined and then modeled to indicate what MIGHT be possible in the future.</w:t>
            </w:r>
          </w:p>
        </w:tc>
      </w:tr>
      <w:tr w:rsidR="00E21936">
        <w:tblPrEx>
          <w:tblBorders>
            <w:top w:val="none" w:sz="0" w:space="0" w:color="auto"/>
          </w:tblBorders>
          <w:tblCellMar>
            <w:top w:w="0" w:type="dxa"/>
            <w:bottom w:w="0" w:type="dxa"/>
          </w:tblCellMar>
        </w:tblPrEx>
        <w:tc>
          <w:tcPr>
            <w:tcW w:w="1652" w:type="dxa"/>
            <w:tcBorders>
              <w:left w:val="single" w:sz="10" w:space="0" w:color="000000"/>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jc w:val="center"/>
              <w:rPr>
                <w:rFonts w:ascii="Calibri" w:hAnsi="Calibri" w:cs="Calibri"/>
                <w:sz w:val="30"/>
                <w:szCs w:val="30"/>
              </w:rPr>
            </w:pPr>
            <w:r>
              <w:rPr>
                <w:rFonts w:ascii="Arial" w:hAnsi="Arial" w:cs="Arial"/>
                <w:sz w:val="26"/>
                <w:szCs w:val="26"/>
              </w:rPr>
              <w:t>14</w:t>
            </w:r>
          </w:p>
        </w:tc>
        <w:tc>
          <w:tcPr>
            <w:tcW w:w="11112" w:type="dxa"/>
            <w:tcBorders>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rPr>
                <w:rFonts w:ascii="Calibri" w:hAnsi="Calibri" w:cs="Calibri"/>
                <w:sz w:val="30"/>
                <w:szCs w:val="30"/>
              </w:rPr>
            </w:pPr>
            <w:r>
              <w:rPr>
                <w:rFonts w:ascii="Arial" w:hAnsi="Arial" w:cs="Arial"/>
                <w:sz w:val="26"/>
                <w:szCs w:val="26"/>
              </w:rPr>
              <w:t>Does calibration also “correct” for “take-back”??</w:t>
            </w:r>
          </w:p>
        </w:tc>
      </w:tr>
      <w:tr w:rsidR="00E21936">
        <w:tblPrEx>
          <w:tblBorders>
            <w:top w:val="none" w:sz="0" w:space="0" w:color="auto"/>
          </w:tblBorders>
          <w:tblCellMar>
            <w:top w:w="0" w:type="dxa"/>
            <w:bottom w:w="0" w:type="dxa"/>
          </w:tblCellMar>
        </w:tblPrEx>
        <w:tc>
          <w:tcPr>
            <w:tcW w:w="1652" w:type="dxa"/>
            <w:tcBorders>
              <w:left w:val="single" w:sz="10" w:space="0" w:color="000000"/>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jc w:val="center"/>
              <w:rPr>
                <w:rFonts w:ascii="Calibri" w:hAnsi="Calibri" w:cs="Calibri"/>
                <w:sz w:val="30"/>
                <w:szCs w:val="30"/>
              </w:rPr>
            </w:pPr>
            <w:r>
              <w:rPr>
                <w:rFonts w:ascii="Arial" w:hAnsi="Arial" w:cs="Arial"/>
                <w:sz w:val="26"/>
                <w:szCs w:val="26"/>
              </w:rPr>
              <w:t>15</w:t>
            </w:r>
          </w:p>
        </w:tc>
        <w:tc>
          <w:tcPr>
            <w:tcW w:w="11112" w:type="dxa"/>
            <w:tcBorders>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rPr>
                <w:rFonts w:ascii="Calibri" w:hAnsi="Calibri" w:cs="Calibri"/>
                <w:sz w:val="30"/>
                <w:szCs w:val="30"/>
              </w:rPr>
            </w:pPr>
            <w:r>
              <w:rPr>
                <w:rFonts w:ascii="Arial" w:hAnsi="Arial" w:cs="Arial"/>
                <w:sz w:val="26"/>
                <w:szCs w:val="26"/>
              </w:rPr>
              <w:t>Does calibration differentiate (e.g.) between up- and mid-stream program approaches and down-stream individual customer approaches? If the modeling is done primarily based on end use, technology, or measure, then how try to represent the differential effectiveness and market participation of different kinds of market interventions strategies? As we move into business plans and doubling aims, would seem that the past mix of channels and program design/ market intervention strategies are not necessarily good proxies for what we might see in future.</w:t>
            </w:r>
          </w:p>
          <w:p w:rsidR="00E21936" w:rsidRDefault="00E21936">
            <w:pPr>
              <w:widowControl w:val="0"/>
              <w:autoSpaceDE w:val="0"/>
              <w:autoSpaceDN w:val="0"/>
              <w:adjustRightInd w:val="0"/>
              <w:rPr>
                <w:rFonts w:ascii="Calibri" w:hAnsi="Calibri" w:cs="Calibri"/>
                <w:sz w:val="30"/>
                <w:szCs w:val="30"/>
              </w:rPr>
            </w:pPr>
            <w:r>
              <w:rPr>
                <w:rFonts w:ascii="Arial" w:hAnsi="Arial" w:cs="Arial"/>
                <w:sz w:val="26"/>
                <w:szCs w:val="26"/>
              </w:rPr>
              <w:t xml:space="preserve">I know the Navigant question then is “What better to calibrate to?” I would say – can we look to other kinds of goods &amp; services that might have more marketing savvy and/or more motivation by distribution channels to move their solutions to test upper bounds of what might be possible </w:t>
            </w:r>
            <w:r>
              <w:rPr>
                <w:rFonts w:ascii="Arial" w:hAnsi="Arial" w:cs="Arial"/>
                <w:sz w:val="26"/>
                <w:szCs w:val="26"/>
                <w:u w:val="single"/>
              </w:rPr>
              <w:t>as a scenario</w:t>
            </w:r>
            <w:r>
              <w:rPr>
                <w:rFonts w:ascii="Arial" w:hAnsi="Arial" w:cs="Arial"/>
                <w:sz w:val="26"/>
                <w:szCs w:val="26"/>
              </w:rPr>
              <w:t>? (See examples above at slide 10)</w:t>
            </w:r>
          </w:p>
        </w:tc>
      </w:tr>
      <w:tr w:rsidR="00E21936">
        <w:tblPrEx>
          <w:tblBorders>
            <w:top w:val="none" w:sz="0" w:space="0" w:color="auto"/>
          </w:tblBorders>
          <w:tblCellMar>
            <w:top w:w="0" w:type="dxa"/>
            <w:bottom w:w="0" w:type="dxa"/>
          </w:tblCellMar>
        </w:tblPrEx>
        <w:tc>
          <w:tcPr>
            <w:tcW w:w="1652" w:type="dxa"/>
            <w:tcBorders>
              <w:left w:val="single" w:sz="10" w:space="0" w:color="000000"/>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jc w:val="center"/>
              <w:rPr>
                <w:rFonts w:ascii="Calibri" w:hAnsi="Calibri" w:cs="Calibri"/>
                <w:sz w:val="30"/>
                <w:szCs w:val="30"/>
              </w:rPr>
            </w:pPr>
            <w:r>
              <w:rPr>
                <w:rFonts w:ascii="Arial" w:hAnsi="Arial" w:cs="Arial"/>
                <w:sz w:val="26"/>
                <w:szCs w:val="26"/>
              </w:rPr>
              <w:t>27</w:t>
            </w:r>
          </w:p>
        </w:tc>
        <w:tc>
          <w:tcPr>
            <w:tcW w:w="11112" w:type="dxa"/>
            <w:tcBorders>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rPr>
                <w:rFonts w:ascii="Calibri" w:hAnsi="Calibri" w:cs="Calibri"/>
                <w:sz w:val="30"/>
                <w:szCs w:val="30"/>
              </w:rPr>
            </w:pPr>
            <w:r>
              <w:rPr>
                <w:rFonts w:ascii="Arial" w:hAnsi="Arial" w:cs="Arial"/>
                <w:sz w:val="26"/>
                <w:szCs w:val="26"/>
              </w:rPr>
              <w:t>Variables that influence potential – for sure would seem that we should model different kinds of intervention schemes and different kinds of payment arrangements. E.G. Look at solar PPAs, community solar, EV auto leasing, PACE and PAYS experience. Might there be solar adoption data available re: different arrangements from the solar industry, LBNL, ..?</w:t>
            </w:r>
          </w:p>
        </w:tc>
      </w:tr>
      <w:tr w:rsidR="00E21936">
        <w:tblPrEx>
          <w:tblCellMar>
            <w:top w:w="0" w:type="dxa"/>
            <w:bottom w:w="0" w:type="dxa"/>
          </w:tblCellMar>
        </w:tblPrEx>
        <w:tc>
          <w:tcPr>
            <w:tcW w:w="1652" w:type="dxa"/>
            <w:tcBorders>
              <w:left w:val="single" w:sz="10" w:space="0" w:color="000000"/>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jc w:val="center"/>
              <w:rPr>
                <w:rFonts w:ascii="Calibri" w:hAnsi="Calibri" w:cs="Calibri"/>
                <w:sz w:val="30"/>
                <w:szCs w:val="30"/>
              </w:rPr>
            </w:pPr>
            <w:r>
              <w:rPr>
                <w:rFonts w:ascii="Arial" w:hAnsi="Arial" w:cs="Arial"/>
                <w:sz w:val="26"/>
                <w:szCs w:val="26"/>
              </w:rPr>
              <w:t>28 and 29</w:t>
            </w:r>
          </w:p>
        </w:tc>
        <w:tc>
          <w:tcPr>
            <w:tcW w:w="11112" w:type="dxa"/>
            <w:tcBorders>
              <w:bottom w:val="single" w:sz="10" w:space="0" w:color="000000"/>
              <w:right w:val="single" w:sz="10" w:space="0" w:color="000000"/>
            </w:tcBorders>
            <w:tcMar>
              <w:top w:w="144" w:type="nil"/>
              <w:right w:w="144" w:type="nil"/>
            </w:tcMar>
          </w:tcPr>
          <w:p w:rsidR="00E21936" w:rsidRDefault="00E21936">
            <w:pPr>
              <w:widowControl w:val="0"/>
              <w:autoSpaceDE w:val="0"/>
              <w:autoSpaceDN w:val="0"/>
              <w:adjustRightInd w:val="0"/>
              <w:rPr>
                <w:rFonts w:ascii="Calibri" w:hAnsi="Calibri" w:cs="Calibri"/>
                <w:sz w:val="30"/>
                <w:szCs w:val="30"/>
              </w:rPr>
            </w:pPr>
            <w:r>
              <w:rPr>
                <w:rFonts w:ascii="Arial" w:hAnsi="Arial" w:cs="Arial"/>
                <w:sz w:val="26"/>
                <w:szCs w:val="26"/>
              </w:rPr>
              <w:t>Besides “BROs” there also is for “measures” the non-energy benefit factors, such as reduced maintenance or labor costs for longer-lived measures in commercial buildings. This is probably a comment on the basic modeling work, and not specifically to “scenarios”.</w:t>
            </w:r>
          </w:p>
          <w:p w:rsidR="00E21936" w:rsidRDefault="00E21936">
            <w:pPr>
              <w:widowControl w:val="0"/>
              <w:autoSpaceDE w:val="0"/>
              <w:autoSpaceDN w:val="0"/>
              <w:adjustRightInd w:val="0"/>
              <w:rPr>
                <w:rFonts w:ascii="Calibri" w:hAnsi="Calibri" w:cs="Calibri"/>
                <w:sz w:val="30"/>
                <w:szCs w:val="30"/>
              </w:rPr>
            </w:pPr>
            <w:r>
              <w:rPr>
                <w:rFonts w:ascii="Arial" w:hAnsi="Arial" w:cs="Arial"/>
                <w:sz w:val="26"/>
                <w:szCs w:val="26"/>
              </w:rPr>
              <w:t>It seems to me that having scenarios on different levels of penetration, to reflect different levels of market effectiveness and/or payment facilities, will  help open up more discussion about “program” designs and market strategies, which will be helpful, rather than “settling” for a low-ball target of what is possible based on a limited-factor analysis.</w:t>
            </w:r>
          </w:p>
          <w:p w:rsidR="00E21936" w:rsidRDefault="00E21936">
            <w:pPr>
              <w:widowControl w:val="0"/>
              <w:autoSpaceDE w:val="0"/>
              <w:autoSpaceDN w:val="0"/>
              <w:adjustRightInd w:val="0"/>
              <w:rPr>
                <w:rFonts w:ascii="Calibri" w:hAnsi="Calibri" w:cs="Calibri"/>
                <w:sz w:val="30"/>
                <w:szCs w:val="30"/>
              </w:rPr>
            </w:pPr>
            <w:r>
              <w:rPr>
                <w:rFonts w:ascii="Arial" w:hAnsi="Arial" w:cs="Arial"/>
                <w:b/>
                <w:bCs/>
                <w:sz w:val="26"/>
                <w:szCs w:val="26"/>
              </w:rPr>
              <w:t>Slide 29 captures this possible outcome well.</w:t>
            </w:r>
          </w:p>
        </w:tc>
      </w:tr>
    </w:tbl>
    <w:p w:rsidR="00EE1BAA" w:rsidRDefault="00EE1BAA" w:rsidP="00E21936">
      <w:pPr>
        <w:widowControl w:val="0"/>
        <w:autoSpaceDE w:val="0"/>
        <w:autoSpaceDN w:val="0"/>
        <w:adjustRightInd w:val="0"/>
      </w:pPr>
    </w:p>
    <w:sectPr w:rsidR="00EE1BAA" w:rsidSect="00E21936">
      <w:footerReference w:type="even" r:id="rId8"/>
      <w:footerReference w:type="default" r:id="rId9"/>
      <w:pgSz w:w="15840" w:h="12240" w:orient="landscape"/>
      <w:pgMar w:top="1800" w:right="1440" w:bottom="1800" w:left="1440" w:header="720" w:footer="720" w:gutter="0"/>
      <w:cols w:space="720"/>
      <w:docGrid w:linePitch="360"/>
      <w:printerSettings r:id="rId1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936" w:rsidRDefault="00E21936" w:rsidP="00E21936">
      <w:r>
        <w:separator/>
      </w:r>
    </w:p>
  </w:endnote>
  <w:endnote w:type="continuationSeparator" w:id="0">
    <w:p w:rsidR="00E21936" w:rsidRDefault="00E21936" w:rsidP="00E2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altName w:val="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936" w:rsidRDefault="00E21936" w:rsidP="003B21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21936" w:rsidRDefault="00E21936">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936" w:rsidRDefault="00E21936" w:rsidP="003B21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21936" w:rsidRDefault="00E2193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936" w:rsidRDefault="00E21936" w:rsidP="00E21936">
      <w:r>
        <w:separator/>
      </w:r>
    </w:p>
  </w:footnote>
  <w:footnote w:type="continuationSeparator" w:id="0">
    <w:p w:rsidR="00E21936" w:rsidRDefault="00E21936" w:rsidP="00E219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936"/>
    <w:rsid w:val="004D5188"/>
    <w:rsid w:val="00E21936"/>
    <w:rsid w:val="00EE1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4677DE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21936"/>
    <w:pPr>
      <w:tabs>
        <w:tab w:val="center" w:pos="4320"/>
        <w:tab w:val="right" w:pos="8640"/>
      </w:tabs>
    </w:pPr>
  </w:style>
  <w:style w:type="character" w:customStyle="1" w:styleId="FooterChar">
    <w:name w:val="Footer Char"/>
    <w:basedOn w:val="DefaultParagraphFont"/>
    <w:link w:val="Footer"/>
    <w:uiPriority w:val="99"/>
    <w:rsid w:val="00E21936"/>
  </w:style>
  <w:style w:type="character" w:styleId="PageNumber">
    <w:name w:val="page number"/>
    <w:basedOn w:val="DefaultParagraphFont"/>
    <w:uiPriority w:val="99"/>
    <w:semiHidden/>
    <w:unhideWhenUsed/>
    <w:rsid w:val="00E2193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21936"/>
    <w:pPr>
      <w:tabs>
        <w:tab w:val="center" w:pos="4320"/>
        <w:tab w:val="right" w:pos="8640"/>
      </w:tabs>
    </w:pPr>
  </w:style>
  <w:style w:type="character" w:customStyle="1" w:styleId="FooterChar">
    <w:name w:val="Footer Char"/>
    <w:basedOn w:val="DefaultParagraphFont"/>
    <w:link w:val="Footer"/>
    <w:uiPriority w:val="99"/>
    <w:rsid w:val="00E21936"/>
  </w:style>
  <w:style w:type="character" w:styleId="PageNumber">
    <w:name w:val="page number"/>
    <w:basedOn w:val="DefaultParagraphFont"/>
    <w:uiPriority w:val="99"/>
    <w:semiHidden/>
    <w:unhideWhenUsed/>
    <w:rsid w:val="00E21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jeanne.clinton@cpuc.ca.gov" TargetMode="Externa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printerSettings" Target="printerSettings/printerSettings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713</Words>
  <Characters>4068</Characters>
  <Application>Microsoft Macintosh Word</Application>
  <DocSecurity>0</DocSecurity>
  <Lines>33</Lines>
  <Paragraphs>9</Paragraphs>
  <ScaleCrop>false</ScaleCrop>
  <Company/>
  <LinksUpToDate>false</LinksUpToDate>
  <CharactersWithSpaces>4772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dc:creator>
  <cp:keywords/>
  <dc:description/>
  <cp:lastModifiedBy>CAD</cp:lastModifiedBy>
  <cp:revision>1</cp:revision>
  <dcterms:created xsi:type="dcterms:W3CDTF">2017-01-09T19:22:00Z</dcterms:created>
  <dcterms:modified xsi:type="dcterms:W3CDTF">2017-01-09T19:24:00Z</dcterms:modified>
</cp:coreProperties>
</file>